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1F" w:rsidRPr="008B3E1C" w:rsidRDefault="0001271F" w:rsidP="0001271F">
      <w:pPr>
        <w:rPr>
          <w:rFonts w:ascii="Times New Roman" w:eastAsia="Times New Roman" w:hAnsi="Times New Roman" w:cs="Times New Roman"/>
          <w:sz w:val="24"/>
          <w:szCs w:val="24"/>
        </w:rPr>
      </w:pPr>
      <w:r w:rsidRPr="008B3E1C">
        <w:rPr>
          <w:rFonts w:ascii="Times New Roman" w:eastAsia="Times New Roman" w:hAnsi="Times New Roman" w:cs="Times New Roman"/>
          <w:sz w:val="24"/>
          <w:szCs w:val="24"/>
        </w:rPr>
        <w:t>Supplemental table 1.  Characteristics of the DAA population by ethnicity</w:t>
      </w:r>
    </w:p>
    <w:tbl>
      <w:tblPr>
        <w:tblStyle w:val="TableGrid"/>
        <w:tblpPr w:leftFromText="187" w:rightFromText="187" w:vertAnchor="text" w:horzAnchor="margin" w:tblpX="-275" w:tblpY="132"/>
        <w:tblW w:w="11510" w:type="dxa"/>
        <w:tblLook w:val="04A0" w:firstRow="1" w:lastRow="0" w:firstColumn="1" w:lastColumn="0" w:noHBand="0" w:noVBand="1"/>
      </w:tblPr>
      <w:tblGrid>
        <w:gridCol w:w="3832"/>
        <w:gridCol w:w="1947"/>
        <w:gridCol w:w="1791"/>
        <w:gridCol w:w="1869"/>
        <w:gridCol w:w="1070"/>
        <w:gridCol w:w="1001"/>
      </w:tblGrid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Characteristic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Caucasian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(n = 239)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(n = 67)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African American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(n = 25)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Hispanic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(n = 154)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i/>
                <w:sz w:val="24"/>
                <w:szCs w:val="24"/>
              </w:rPr>
              <w:t>p-</w:t>
            </w:r>
            <w:r w:rsidRPr="008B3E1C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Medical Comorbidities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Coronary artery disease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Chronic kidney disease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Chronic obstructive pulmonary disease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23.9%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6.3%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34.3%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10.5%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31.3%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38.8%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28%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13.6%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27.9%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2.6%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42.2%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0.8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0.6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0.28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Liver-related comorbidities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Cirrhosis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Decompensated cirrhosis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Hepatitis B coinfection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Hepatocellular carcinoma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81.2%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71.6%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12.7%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85.1%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82.1%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10.5%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20.5%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96.5%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90.9%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40.4%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&lt; 0.001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&lt; 0.001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0.08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 xml:space="preserve">HCV genotype 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69.4%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13.5%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16.1%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46.3%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5.6%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7.4%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94.1%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5.9%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68.4%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21.4%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3.4%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&lt; 0.001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Antiviral regimen (DAA era only)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Ledipasvir/sofosbuvir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Simeprevir/sofosbuvir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Sofosbuvir/ribavirin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Daclatasvir/sofosbuvir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Pegylated interferon, ribavirin, and sofosbuvir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Other regimen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41.8%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25.3%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17.5%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4.6%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1.6%</w:t>
            </w:r>
          </w:p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9.3%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48.1%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23.1%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19.2%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3.9%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5.8%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66.7%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26.7%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6.7%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41.2%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26.3%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17.5%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1.8%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Reasons for treatment delay (n = 59)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Insurance delays/denials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Patient choice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Financial stability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Comorbidities/medications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Unexplained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13 (46.4%)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 (10.7%)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(7.1%)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(7.1%)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 (28.6%)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3 (33.3%)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 (11.1%)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(22.2%)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 (33.3%)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1 (50%)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 (50%)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13 (65%)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(10%)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 (15%)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(10%)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lastRenderedPageBreak/>
              <w:t>0.61</w:t>
            </w:r>
          </w:p>
        </w:tc>
      </w:tr>
      <w:tr w:rsidR="0001271F" w:rsidRPr="008B3E1C" w:rsidTr="00A87172">
        <w:tc>
          <w:tcPr>
            <w:tcW w:w="3839" w:type="dxa"/>
          </w:tcPr>
          <w:p w:rsidR="0001271F" w:rsidRPr="008B3E1C" w:rsidRDefault="0001271F" w:rsidP="00A871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Reasons for non-treatment (n = 110)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Patient choice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Issues with follow up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Insurance issues or access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Other reason</w:t>
            </w:r>
          </w:p>
          <w:p w:rsidR="0001271F" w:rsidRPr="008B3E1C" w:rsidRDefault="0001271F" w:rsidP="00A87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Management of comorbidities</w:t>
            </w:r>
          </w:p>
        </w:tc>
        <w:tc>
          <w:tcPr>
            <w:tcW w:w="196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 (2.2%)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 (17.8%)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5 (11.1%)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15 (33.3%)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16 (35.6%)</w:t>
            </w:r>
          </w:p>
        </w:tc>
        <w:tc>
          <w:tcPr>
            <w:tcW w:w="1808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 (26.7%)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 (20%)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 (53.3%)</w:t>
            </w:r>
          </w:p>
        </w:tc>
        <w:tc>
          <w:tcPr>
            <w:tcW w:w="1884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3 (30%)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 (10%)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(20%)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4 (40%)</w:t>
            </w:r>
          </w:p>
        </w:tc>
        <w:tc>
          <w:tcPr>
            <w:tcW w:w="1009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12 (30%)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2 (5%)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8 (20%)</w:t>
            </w:r>
          </w:p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18 (45%)</w:t>
            </w:r>
          </w:p>
        </w:tc>
        <w:tc>
          <w:tcPr>
            <w:tcW w:w="1006" w:type="dxa"/>
          </w:tcPr>
          <w:p w:rsidR="0001271F" w:rsidRPr="008B3E1C" w:rsidRDefault="0001271F" w:rsidP="00A87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1C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</w:tbl>
    <w:p w:rsidR="00BB4FA2" w:rsidRPr="008B3E1C" w:rsidRDefault="00B830E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p w:rsidR="008B3E1C" w:rsidRPr="008B3E1C" w:rsidRDefault="008B3E1C" w:rsidP="008B3E1C">
      <w:pPr>
        <w:rPr>
          <w:rFonts w:ascii="Times New Roman" w:hAnsi="Times New Roman" w:cs="Times New Roman"/>
          <w:sz w:val="24"/>
          <w:szCs w:val="24"/>
        </w:rPr>
      </w:pPr>
      <w:r w:rsidRPr="008B3E1C">
        <w:rPr>
          <w:rFonts w:ascii="Times New Roman" w:hAnsi="Times New Roman" w:cs="Times New Roman"/>
          <w:sz w:val="24"/>
          <w:szCs w:val="24"/>
        </w:rPr>
        <w:t xml:space="preserve">Supplemental table 2.  </w:t>
      </w:r>
      <w:r w:rsidRPr="008B3E1C">
        <w:rPr>
          <w:rFonts w:ascii="Times New Roman" w:hAnsi="Times New Roman" w:cs="Times New Roman"/>
          <w:sz w:val="24"/>
          <w:szCs w:val="24"/>
        </w:rPr>
        <w:t>Multivariate and univariate analysis of predictors of treatment in the IFN-era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50"/>
        <w:gridCol w:w="1530"/>
        <w:gridCol w:w="990"/>
        <w:gridCol w:w="1440"/>
        <w:gridCol w:w="1350"/>
        <w:gridCol w:w="990"/>
      </w:tblGrid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Odds Ratio Univariate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Odds Ratio Multivariate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eastAsia="Calibri" w:hAnsi="Times New Roman" w:cs="Times New Roman"/>
                <w:sz w:val="24"/>
                <w:szCs w:val="24"/>
              </w:rPr>
              <w:t>Age (per increase in year)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0.96 – 0.98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0.96 – 0.98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0.74 – 1.1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eastAsia="Calibri" w:hAnsi="Times New Roman" w:cs="Times New Roman"/>
                <w:sz w:val="24"/>
                <w:szCs w:val="24"/>
              </w:rPr>
              <w:t>Ethnicity</w:t>
            </w:r>
          </w:p>
          <w:p w:rsidR="008B3E1C" w:rsidRPr="008B3E1C" w:rsidRDefault="008B3E1C" w:rsidP="008B3E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  <w:p w:rsidR="008B3E1C" w:rsidRPr="008B3E1C" w:rsidRDefault="008B3E1C" w:rsidP="008B3E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8B3E1C" w:rsidRPr="008B3E1C" w:rsidRDefault="008B3E1C" w:rsidP="008B3E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:rsidR="008B3E1C" w:rsidRPr="008B3E1C" w:rsidRDefault="008B3E1C" w:rsidP="008B3E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  <w:p w:rsidR="008B3E1C" w:rsidRPr="008B3E1C" w:rsidRDefault="008B3E1C" w:rsidP="008B3E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:rsidR="00B830EC" w:rsidRPr="008B3E1C" w:rsidRDefault="00B830E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0.82 – 1.4</w:t>
            </w:r>
          </w:p>
          <w:p w:rsid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0.57 – 1.2</w:t>
            </w:r>
          </w:p>
          <w:p w:rsidR="00B830EC" w:rsidRPr="008B3E1C" w:rsidRDefault="00B830E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0.48 – 0.81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0.54 – 1.2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0.93 – 1.7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0.53 – 1.3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0.46 – 0.82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 – 1.4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B83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bookmarkStart w:id="0" w:name="_GoBack"/>
            <w:bookmarkEnd w:id="0"/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Decompensated cirrhosis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0.47 – 0.69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0.47 – 0.73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≥ 2 vs. &lt; medical comorbidities*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0.51 – 0.98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0.64 – 1.3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8B3E1C" w:rsidRPr="008B3E1C" w:rsidTr="000E473C">
        <w:tc>
          <w:tcPr>
            <w:tcW w:w="2448" w:type="dxa"/>
          </w:tcPr>
          <w:p w:rsidR="008B3E1C" w:rsidRPr="008B3E1C" w:rsidRDefault="008B3E1C" w:rsidP="000E4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History of psychiatric disorder</w:t>
            </w:r>
            <w:r w:rsidRPr="008B3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53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0.82 – 1.2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44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B3E1C" w:rsidRPr="008B3E1C" w:rsidRDefault="008B3E1C" w:rsidP="000E47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E1C" w:rsidRPr="008B3E1C" w:rsidRDefault="008B3E1C" w:rsidP="008B3E1C">
      <w:pPr>
        <w:rPr>
          <w:rFonts w:ascii="Times New Roman" w:hAnsi="Times New Roman" w:cs="Times New Roman"/>
          <w:sz w:val="24"/>
          <w:szCs w:val="24"/>
        </w:rPr>
      </w:pPr>
      <w:r w:rsidRPr="008B3E1C">
        <w:rPr>
          <w:rFonts w:ascii="Times New Roman" w:hAnsi="Times New Roman" w:cs="Times New Roman"/>
          <w:sz w:val="24"/>
          <w:szCs w:val="24"/>
        </w:rPr>
        <w:t>*Medical comorbidities include coronary artery disease, chronic obstructive pulmonary disease, chronic kidney disease, and diabetes mellitus</w:t>
      </w:r>
    </w:p>
    <w:p w:rsidR="008B3E1C" w:rsidRPr="008B3E1C" w:rsidRDefault="008B3E1C" w:rsidP="008B3E1C">
      <w:pPr>
        <w:rPr>
          <w:rFonts w:ascii="Times New Roman" w:hAnsi="Times New Roman" w:cs="Times New Roman"/>
          <w:sz w:val="24"/>
          <w:szCs w:val="24"/>
        </w:rPr>
      </w:pPr>
      <w:r w:rsidRPr="008B3E1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8B3E1C">
        <w:rPr>
          <w:rFonts w:ascii="Times New Roman" w:hAnsi="Times New Roman" w:cs="Times New Roman"/>
          <w:sz w:val="24"/>
          <w:szCs w:val="24"/>
        </w:rPr>
        <w:t>Psychiatric disorders include depression, bipolar disorder, and schizophrenia</w:t>
      </w:r>
    </w:p>
    <w:p w:rsidR="008B3E1C" w:rsidRPr="008B3E1C" w:rsidRDefault="008B3E1C">
      <w:pPr>
        <w:rPr>
          <w:rFonts w:ascii="Times New Roman" w:hAnsi="Times New Roman" w:cs="Times New Roman"/>
          <w:sz w:val="24"/>
          <w:szCs w:val="24"/>
        </w:rPr>
      </w:pPr>
    </w:p>
    <w:sectPr w:rsidR="008B3E1C" w:rsidRPr="008B3E1C" w:rsidSect="00012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11D"/>
    <w:multiLevelType w:val="hybridMultilevel"/>
    <w:tmpl w:val="592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0A0A"/>
    <w:multiLevelType w:val="hybridMultilevel"/>
    <w:tmpl w:val="B2D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2B4A"/>
    <w:multiLevelType w:val="hybridMultilevel"/>
    <w:tmpl w:val="CAD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1F"/>
    <w:rsid w:val="0001271F"/>
    <w:rsid w:val="00783E9B"/>
    <w:rsid w:val="008B3E1C"/>
    <w:rsid w:val="00B830EC"/>
    <w:rsid w:val="00B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32F2B-A549-4872-9A3F-890FBA3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1F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127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Vutien</dc:creator>
  <cp:keywords/>
  <dc:description/>
  <cp:lastModifiedBy>Philip Vutien</cp:lastModifiedBy>
  <cp:revision>3</cp:revision>
  <dcterms:created xsi:type="dcterms:W3CDTF">2017-10-08T22:17:00Z</dcterms:created>
  <dcterms:modified xsi:type="dcterms:W3CDTF">2017-10-08T22:19:00Z</dcterms:modified>
</cp:coreProperties>
</file>